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18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 о рассмотрении обращений граждан и организаций,</w:t>
      </w:r>
      <w:r>
        <w:rPr>
          <w:sz w:val="28"/>
          <w:szCs w:val="28"/>
        </w:rPr>
      </w:r>
    </w:p>
    <w:p>
      <w:pPr>
        <w:pStyle w:val="618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поступивших в адрес </w:t>
      </w:r>
      <w:r>
        <w:rPr>
          <w:sz w:val="28"/>
          <w:szCs w:val="28"/>
        </w:rPr>
        <w:t xml:space="preserve">Управления </w:t>
      </w:r>
      <w:r>
        <w:rPr>
          <w:sz w:val="28"/>
          <w:szCs w:val="28"/>
        </w:rPr>
        <w:t xml:space="preserve">Федерального казначейства</w:t>
      </w:r>
      <w:r>
        <w:rPr>
          <w:sz w:val="28"/>
          <w:szCs w:val="28"/>
        </w:rPr>
        <w:t xml:space="preserve"> по Липецкой области в период с </w:t>
      </w: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апреля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202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  <w:t xml:space="preserve"> г. по 3</w:t>
      </w:r>
      <w:r>
        <w:rPr>
          <w:sz w:val="28"/>
          <w:szCs w:val="28"/>
        </w:rPr>
        <w:t xml:space="preserve">0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июня</w:t>
      </w:r>
      <w:r>
        <w:rPr>
          <w:sz w:val="28"/>
          <w:szCs w:val="28"/>
        </w:rPr>
        <w:t xml:space="preserve"> 202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  <w:t xml:space="preserve"> г.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18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18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Управление Федерального казначейства по Липецкой области за отчётный период поступило </w:t>
      </w:r>
      <w:r>
        <w:rPr>
          <w:sz w:val="28"/>
          <w:szCs w:val="28"/>
        </w:rPr>
        <w:t xml:space="preserve">31</w:t>
      </w:r>
      <w:r>
        <w:rPr>
          <w:sz w:val="28"/>
          <w:szCs w:val="28"/>
        </w:rPr>
        <w:t xml:space="preserve"> обращени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 граждан и организаций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 Все поступившие в Управление обращения поставлены на контроль.</w:t>
      </w:r>
      <w:r>
        <w:rPr>
          <w:sz w:val="28"/>
          <w:szCs w:val="28"/>
        </w:rPr>
      </w:r>
    </w:p>
    <w:p>
      <w:pPr>
        <w:pStyle w:val="618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</w:t>
      </w:r>
      <w:r>
        <w:rPr>
          <w:sz w:val="28"/>
          <w:szCs w:val="28"/>
        </w:rPr>
        <w:t xml:space="preserve">ыми</w:t>
      </w:r>
      <w:r>
        <w:rPr>
          <w:sz w:val="28"/>
          <w:szCs w:val="28"/>
        </w:rPr>
        <w:t xml:space="preserve"> тем</w:t>
      </w:r>
      <w:r>
        <w:rPr>
          <w:sz w:val="28"/>
          <w:szCs w:val="28"/>
        </w:rPr>
        <w:t xml:space="preserve">ами обращений стали</w:t>
      </w:r>
      <w:r>
        <w:rPr>
          <w:sz w:val="28"/>
          <w:szCs w:val="28"/>
        </w:rPr>
        <w:t xml:space="preserve">:</w:t>
      </w:r>
      <w:r>
        <w:rPr>
          <w:sz w:val="28"/>
          <w:szCs w:val="28"/>
        </w:rPr>
      </w:r>
    </w:p>
    <w:p>
      <w:pPr>
        <w:pStyle w:val="624"/>
        <w:ind w:left="0" w:firstLine="709"/>
        <w:jc w:val="both"/>
        <w:tabs>
          <w:tab w:val="left" w:pos="426" w:leader="none"/>
        </w:tabs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– </w:t>
      </w:r>
      <w:r>
        <w:rPr>
          <w:rFonts w:eastAsia="Calibri"/>
          <w:sz w:val="28"/>
          <w:szCs w:val="28"/>
        </w:rPr>
        <w:t xml:space="preserve">в</w:t>
      </w:r>
      <w:r>
        <w:rPr>
          <w:sz w:val="28"/>
          <w:szCs w:val="28"/>
        </w:rPr>
        <w:t xml:space="preserve">озврат или зачет излишне уплаченных или излишне взысканных сумм налогов, сборов, взносов, пеней и штрафов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24"/>
        <w:ind w:left="0" w:firstLine="709"/>
        <w:jc w:val="both"/>
        <w:tabs>
          <w:tab w:val="left" w:pos="426" w:leader="none"/>
        </w:tabs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–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</w:t>
      </w:r>
      <w:r>
        <w:rPr>
          <w:rFonts w:eastAsia="Calibri"/>
          <w:sz w:val="28"/>
          <w:szCs w:val="28"/>
        </w:rPr>
        <w:t xml:space="preserve">бщие положения в сфере правосудия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</w:p>
    <w:p>
      <w:pPr>
        <w:pStyle w:val="618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Рассмотрение обращений граждан и организаций осуществлялось в строгом соответствии с Федеральным законом от 02.05.2006 № 59-ФЗ </w:t>
        <w:br w:type="textWrapping" w:clear="all"/>
        <w:t xml:space="preserve">«О порядке рассмотрения обращений граждан Российской Федерации», по ним принимались соответствующие меры: </w:t>
      </w:r>
      <w:r>
        <w:rPr>
          <w:sz w:val="28"/>
          <w:szCs w:val="28"/>
        </w:rPr>
        <w:t xml:space="preserve">30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обращени</w:t>
      </w:r>
      <w:r>
        <w:rPr>
          <w:sz w:val="28"/>
          <w:szCs w:val="28"/>
        </w:rPr>
        <w:t xml:space="preserve">й</w:t>
      </w:r>
      <w:r>
        <w:rPr>
          <w:sz w:val="28"/>
          <w:szCs w:val="28"/>
        </w:rPr>
        <w:t xml:space="preserve"> рассмотрено, </w:t>
      </w:r>
      <w:r>
        <w:rPr>
          <w:sz w:val="28"/>
          <w:szCs w:val="28"/>
        </w:rPr>
        <w:t xml:space="preserve">из них </w:t>
      </w:r>
      <w:r>
        <w:rPr>
          <w:sz w:val="28"/>
          <w:szCs w:val="28"/>
        </w:rPr>
        <w:t xml:space="preserve">13</w:t>
      </w:r>
      <w:r>
        <w:rPr>
          <w:sz w:val="28"/>
          <w:szCs w:val="28"/>
        </w:rPr>
        <w:t xml:space="preserve"> обращений направлены по компетенции, </w:t>
      </w: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обращени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наход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тся на рассмотрении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pPr w:horzAnchor="text" w:tblpXSpec="center" w:vertAnchor="text" w:tblpY="224" w:leftFromText="180" w:topFromText="0" w:rightFromText="180" w:bottomFromText="0"/>
        <w:tblW w:w="10173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94"/>
        <w:gridCol w:w="2666"/>
        <w:gridCol w:w="2377"/>
        <w:gridCol w:w="2835"/>
        <w:gridCol w:w="170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173" w:type="dxa"/>
            <w:vAlign w:val="top"/>
            <w:textDirection w:val="lrTb"/>
            <w:noWrap w:val="false"/>
          </w:tcPr>
          <w:p>
            <w:pPr>
              <w:pStyle w:val="618"/>
              <w:jc w:val="center"/>
              <w:rPr>
                <w:rFonts w:eastAsia="Calibri"/>
                <w:sz w:val="28"/>
                <w:szCs w:val="28"/>
              </w:rPr>
              <w:framePr w:hSpace="180" w:wrap="around" w:vAnchor="text" w:hAnchor="text" w:xAlign="center" w:y="224"/>
            </w:pPr>
            <w:r>
              <w:rPr>
                <w:rFonts w:eastAsia="Calibri"/>
                <w:sz w:val="28"/>
                <w:szCs w:val="28"/>
              </w:rPr>
              <w:t xml:space="preserve">Управление Федерального казначейства по Липецкой области</w:t>
            </w:r>
            <w:r>
              <w:rPr>
                <w:rFonts w:eastAsia="Calibri"/>
                <w:sz w:val="28"/>
                <w:szCs w:val="2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51"/>
        </w:trPr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72" w:type="dxa"/>
            <w:vAlign w:val="center"/>
            <w:textDirection w:val="lrTb"/>
            <w:noWrap w:val="false"/>
          </w:tcPr>
          <w:p>
            <w:pPr>
              <w:pStyle w:val="618"/>
              <w:jc w:val="center"/>
              <w:rPr>
                <w:rFonts w:eastAsia="Calibri"/>
                <w:sz w:val="28"/>
                <w:szCs w:val="28"/>
              </w:rPr>
              <w:framePr w:hSpace="180" w:wrap="around" w:vAnchor="text" w:hAnchor="text" w:xAlign="center" w:y="224"/>
            </w:pPr>
            <w:r>
              <w:rPr>
                <w:rFonts w:eastAsia="Calibri"/>
                <w:sz w:val="28"/>
                <w:szCs w:val="28"/>
              </w:rPr>
              <w:t xml:space="preserve">Общее количество обращений за I</w:t>
            </w:r>
            <w:r>
              <w:rPr>
                <w:rFonts w:eastAsia="Calibri"/>
                <w:sz w:val="28"/>
                <w:szCs w:val="28"/>
                <w:lang w:val="en-US"/>
              </w:rPr>
              <w:t xml:space="preserve">I</w:t>
            </w:r>
            <w:r>
              <w:rPr>
                <w:rFonts w:eastAsia="Calibri"/>
                <w:sz w:val="28"/>
                <w:szCs w:val="28"/>
              </w:rPr>
              <w:t xml:space="preserve"> квартал 202</w:t>
            </w:r>
            <w:r>
              <w:rPr>
                <w:rFonts w:eastAsia="Calibri"/>
                <w:sz w:val="28"/>
                <w:szCs w:val="28"/>
              </w:rPr>
              <w:t xml:space="preserve">6</w:t>
            </w:r>
            <w:r>
              <w:rPr>
                <w:rFonts w:eastAsia="Calibri"/>
                <w:sz w:val="28"/>
                <w:szCs w:val="28"/>
              </w:rPr>
              <w:t xml:space="preserve"> года</w:t>
            </w:r>
            <w:r>
              <w:rPr>
                <w:rFonts w:eastAsia="Calibri"/>
                <w:sz w:val="28"/>
                <w:szCs w:val="28"/>
              </w:rPr>
            </w:r>
            <w:r>
              <w:rPr>
                <w:rFonts w:eastAsia="Calibri"/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618"/>
              <w:jc w:val="center"/>
              <w:rPr>
                <w:rFonts w:eastAsia="Calibri"/>
                <w:sz w:val="28"/>
                <w:szCs w:val="28"/>
              </w:rPr>
              <w:framePr w:hSpace="180" w:wrap="around" w:vAnchor="text" w:hAnchor="text" w:xAlign="center" w:y="224"/>
            </w:pPr>
            <w:r>
              <w:rPr>
                <w:rFonts w:eastAsia="Calibri"/>
                <w:sz w:val="28"/>
                <w:szCs w:val="28"/>
              </w:rPr>
            </w:r>
            <w:r>
              <w:rPr>
                <w:rFonts w:eastAsia="Calibri"/>
                <w:sz w:val="28"/>
                <w:szCs w:val="28"/>
              </w:rPr>
            </w:r>
          </w:p>
          <w:p>
            <w:pPr>
              <w:pStyle w:val="618"/>
              <w:jc w:val="center"/>
              <w:rPr>
                <w:rFonts w:eastAsia="Calibri"/>
                <w:sz w:val="28"/>
                <w:szCs w:val="28"/>
                <w:lang w:val="en-US"/>
              </w:rPr>
              <w:framePr w:hSpace="180" w:wrap="around" w:vAnchor="text" w:hAnchor="text" w:xAlign="center" w:y="224"/>
            </w:pPr>
            <w:r>
              <w:rPr>
                <w:rFonts w:eastAsia="Calibri"/>
                <w:sz w:val="28"/>
                <w:szCs w:val="28"/>
              </w:rPr>
              <w:t xml:space="preserve">31</w:t>
            </w:r>
            <w:r>
              <w:rPr>
                <w:rFonts w:eastAsia="Calibri"/>
                <w:sz w:val="28"/>
                <w:szCs w:val="28"/>
                <w:lang w:val="en-US"/>
              </w:rPr>
            </w:r>
            <w:r>
              <w:rPr>
                <w:rFonts w:eastAsia="Calibri"/>
                <w:sz w:val="28"/>
                <w:szCs w:val="28"/>
                <w:lang w:val="en-US"/>
              </w:rPr>
            </w:r>
          </w:p>
          <w:p>
            <w:pPr>
              <w:pStyle w:val="618"/>
              <w:jc w:val="center"/>
              <w:rPr>
                <w:rFonts w:eastAsia="Calibri"/>
                <w:sz w:val="28"/>
                <w:szCs w:val="28"/>
              </w:rPr>
              <w:framePr w:hSpace="180" w:wrap="around" w:vAnchor="text" w:hAnchor="text" w:xAlign="center" w:y="224"/>
            </w:pPr>
            <w:r>
              <w:rPr>
                <w:rFonts w:eastAsia="Calibri"/>
                <w:sz w:val="28"/>
                <w:szCs w:val="28"/>
              </w:rPr>
            </w:r>
            <w:r>
              <w:rPr>
                <w:rFonts w:eastAsia="Calibri"/>
                <w:sz w:val="28"/>
                <w:szCs w:val="2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89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94" w:type="dxa"/>
            <w:vAlign w:val="center"/>
            <w:vMerge w:val="restart"/>
            <w:textDirection w:val="lrTb"/>
            <w:noWrap w:val="false"/>
          </w:tcPr>
          <w:p>
            <w:pPr>
              <w:pStyle w:val="618"/>
              <w:jc w:val="center"/>
              <w:rPr>
                <w:rFonts w:eastAsia="Calibri"/>
                <w:sz w:val="28"/>
                <w:szCs w:val="28"/>
              </w:rPr>
              <w:framePr w:hSpace="180" w:wrap="around" w:vAnchor="text" w:hAnchor="text" w:xAlign="center" w:y="224"/>
            </w:pPr>
            <w:r>
              <w:rPr>
                <w:rFonts w:eastAsia="Calibri"/>
                <w:sz w:val="28"/>
                <w:szCs w:val="28"/>
              </w:rPr>
            </w:r>
            <w:r>
              <w:rPr>
                <w:rFonts w:eastAsia="Calibri"/>
                <w:sz w:val="28"/>
                <w:szCs w:val="28"/>
              </w:rPr>
            </w:r>
          </w:p>
          <w:p>
            <w:pPr>
              <w:pStyle w:val="618"/>
              <w:jc w:val="center"/>
              <w:rPr>
                <w:rFonts w:eastAsia="Calibri"/>
                <w:sz w:val="28"/>
                <w:szCs w:val="28"/>
              </w:rPr>
              <w:framePr w:hSpace="180" w:wrap="around" w:vAnchor="text" w:hAnchor="text" w:xAlign="center" w:y="224"/>
            </w:pPr>
            <w:r>
              <w:rPr>
                <w:rFonts w:eastAsia="Calibri"/>
                <w:sz w:val="28"/>
                <w:szCs w:val="28"/>
              </w:rPr>
              <w:t xml:space="preserve">№ п/п</w:t>
            </w:r>
            <w:r>
              <w:rPr>
                <w:rFonts w:eastAsia="Calibri"/>
                <w:sz w:val="28"/>
                <w:szCs w:val="28"/>
              </w:rPr>
            </w:r>
          </w:p>
          <w:p>
            <w:pPr>
              <w:pStyle w:val="618"/>
              <w:jc w:val="center"/>
              <w:framePr w:hSpace="180" w:wrap="around" w:vAnchor="text" w:hAnchor="text" w:xAlign="center" w:y="224"/>
            </w:pPr>
            <w:r>
              <w:rPr>
                <w:rFonts w:eastAsia="Calibri"/>
                <w:sz w:val="28"/>
                <w:szCs w:val="28"/>
              </w:rPr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43" w:type="dxa"/>
            <w:vAlign w:val="center"/>
            <w:textDirection w:val="lrTb"/>
            <w:noWrap w:val="false"/>
          </w:tcPr>
          <w:p>
            <w:pPr>
              <w:pStyle w:val="618"/>
              <w:jc w:val="center"/>
              <w:rPr>
                <w:rFonts w:eastAsia="Calibri"/>
                <w:sz w:val="28"/>
                <w:szCs w:val="28"/>
              </w:rPr>
              <w:framePr w:hSpace="180" w:wrap="around" w:vAnchor="text" w:hAnchor="text" w:xAlign="center" w:y="224"/>
            </w:pPr>
            <w:r>
              <w:rPr>
                <w:rFonts w:eastAsia="Calibri"/>
                <w:sz w:val="28"/>
                <w:szCs w:val="28"/>
              </w:rPr>
              <w:t xml:space="preserve">Вопросы, по которым получено наибольшее количество обращений</w:t>
            </w:r>
            <w:r>
              <w:rPr>
                <w:rFonts w:eastAsia="Calibri"/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pStyle w:val="618"/>
              <w:jc w:val="center"/>
              <w:rPr>
                <w:rFonts w:eastAsia="Calibri"/>
                <w:sz w:val="28"/>
                <w:szCs w:val="28"/>
              </w:rPr>
              <w:framePr w:hSpace="180" w:wrap="around" w:vAnchor="text" w:hAnchor="text" w:xAlign="center" w:y="224"/>
            </w:pPr>
            <w:r>
              <w:rPr>
                <w:rFonts w:eastAsia="Calibri"/>
                <w:sz w:val="28"/>
                <w:szCs w:val="28"/>
              </w:rPr>
              <w:t xml:space="preserve">Меры, направленные на сокращение обращений по часто задаваемым вопросам</w:t>
            </w:r>
            <w:r>
              <w:rPr>
                <w:rFonts w:eastAsia="Calibri"/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618"/>
              <w:jc w:val="center"/>
              <w:rPr>
                <w:rFonts w:eastAsia="Calibri"/>
                <w:sz w:val="28"/>
                <w:szCs w:val="28"/>
              </w:rPr>
              <w:framePr w:hSpace="180" w:wrap="around" w:vAnchor="text" w:hAnchor="text" w:xAlign="center" w:y="224"/>
            </w:pPr>
            <w:r>
              <w:rPr>
                <w:rFonts w:eastAsia="Calibri"/>
                <w:sz w:val="28"/>
                <w:szCs w:val="28"/>
              </w:rPr>
              <w:t xml:space="preserve">Количество обращений по теме</w:t>
            </w:r>
            <w:r>
              <w:rPr>
                <w:rFonts w:eastAsia="Calibri"/>
                <w:sz w:val="28"/>
                <w:szCs w:val="2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847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4" w:type="dxa"/>
            <w:vAlign w:val="center"/>
            <w:vMerge w:val="continue"/>
            <w:textDirection w:val="lrTb"/>
            <w:noWrap w:val="false"/>
          </w:tcPr>
          <w:p>
            <w:pPr>
              <w:pStyle w:val="618"/>
              <w:jc w:val="center"/>
              <w:rPr>
                <w:rFonts w:eastAsia="Calibri"/>
                <w:sz w:val="28"/>
                <w:szCs w:val="28"/>
              </w:rPr>
              <w:framePr w:hSpace="180" w:wrap="around" w:vAnchor="text" w:hAnchor="text" w:xAlign="center" w:y="224"/>
            </w:pPr>
            <w:r>
              <w:rPr>
                <w:rFonts w:eastAsia="Calibri"/>
                <w:sz w:val="28"/>
                <w:szCs w:val="28"/>
              </w:rPr>
            </w:r>
            <w:r>
              <w:rPr>
                <w:rFonts w:eastAsia="Calibri"/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66" w:type="dxa"/>
            <w:vAlign w:val="center"/>
            <w:textDirection w:val="lrTb"/>
            <w:noWrap w:val="false"/>
          </w:tcPr>
          <w:p>
            <w:pPr>
              <w:pStyle w:val="618"/>
              <w:jc w:val="center"/>
              <w:rPr>
                <w:sz w:val="28"/>
                <w:szCs w:val="28"/>
              </w:rPr>
              <w:framePr w:hSpace="180" w:wrap="around" w:vAnchor="text" w:hAnchor="text" w:xAlign="center" w:y="224"/>
            </w:pPr>
            <w:r>
              <w:rPr>
                <w:sz w:val="28"/>
                <w:szCs w:val="28"/>
              </w:rPr>
              <w:t xml:space="preserve">Код вопроса </w:t>
            </w:r>
            <w:r>
              <w:rPr>
                <w:sz w:val="28"/>
                <w:szCs w:val="28"/>
              </w:rPr>
            </w:r>
          </w:p>
          <w:p>
            <w:pPr>
              <w:pStyle w:val="618"/>
              <w:jc w:val="center"/>
              <w:rPr>
                <w:rFonts w:eastAsia="Calibri"/>
                <w:sz w:val="28"/>
                <w:szCs w:val="28"/>
              </w:rPr>
              <w:framePr w:hSpace="180" w:wrap="around" w:vAnchor="text" w:hAnchor="text" w:xAlign="center" w:y="224"/>
            </w:pPr>
            <w:r>
              <w:rPr>
                <w:sz w:val="28"/>
                <w:szCs w:val="28"/>
              </w:rPr>
              <w:t xml:space="preserve">из Типового общероссийского тематического классификатора</w:t>
            </w:r>
            <w:r>
              <w:rPr>
                <w:rFonts w:eastAsia="Calibri"/>
                <w:sz w:val="28"/>
                <w:szCs w:val="28"/>
              </w:rPr>
            </w:r>
            <w:r>
              <w:rPr>
                <w:rFonts w:eastAsia="Calibri"/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7" w:type="dxa"/>
            <w:vAlign w:val="center"/>
            <w:textDirection w:val="lrTb"/>
            <w:noWrap w:val="false"/>
          </w:tcPr>
          <w:p>
            <w:pPr>
              <w:pStyle w:val="618"/>
              <w:jc w:val="center"/>
              <w:rPr>
                <w:rFonts w:eastAsia="Calibri"/>
                <w:sz w:val="28"/>
                <w:szCs w:val="28"/>
              </w:rPr>
              <w:framePr w:hSpace="180" w:wrap="around" w:vAnchor="text" w:hAnchor="text" w:xAlign="center" w:y="224"/>
            </w:pPr>
            <w:r>
              <w:rPr>
                <w:rFonts w:eastAsia="Calibri"/>
                <w:sz w:val="28"/>
                <w:szCs w:val="28"/>
              </w:rPr>
              <w:t xml:space="preserve">Тема вопроса</w:t>
            </w:r>
            <w:r>
              <w:rPr>
                <w:rFonts w:eastAsia="Calibri"/>
                <w:sz w:val="28"/>
                <w:szCs w:val="28"/>
              </w:rPr>
            </w:r>
          </w:p>
          <w:p>
            <w:pPr>
              <w:pStyle w:val="618"/>
              <w:jc w:val="center"/>
              <w:rPr>
                <w:rFonts w:eastAsia="Calibri"/>
                <w:sz w:val="28"/>
                <w:szCs w:val="28"/>
              </w:rPr>
              <w:framePr w:hSpace="180" w:wrap="around" w:vAnchor="text" w:hAnchor="text" w:xAlign="center" w:y="224"/>
            </w:pPr>
            <w:r>
              <w:rPr>
                <w:rFonts w:eastAsia="Calibri"/>
                <w:sz w:val="28"/>
                <w:szCs w:val="28"/>
              </w:rPr>
              <w:t xml:space="preserve">из Типового общероссийского тематического классификатора</w:t>
            </w:r>
            <w:r>
              <w:rPr>
                <w:rFonts w:eastAsia="Calibri"/>
                <w:sz w:val="28"/>
                <w:szCs w:val="28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pStyle w:val="618"/>
              <w:jc w:val="center"/>
              <w:rPr>
                <w:rFonts w:eastAsia="Calibri"/>
                <w:sz w:val="28"/>
                <w:szCs w:val="28"/>
              </w:rPr>
              <w:framePr w:hSpace="180" w:wrap="around" w:vAnchor="text" w:hAnchor="text" w:xAlign="center" w:y="224"/>
            </w:pPr>
            <w:r>
              <w:rPr>
                <w:rFonts w:eastAsia="Calibri"/>
                <w:sz w:val="28"/>
                <w:szCs w:val="28"/>
              </w:rPr>
            </w:r>
            <w:r>
              <w:rPr>
                <w:rFonts w:eastAsia="Calibri"/>
                <w:sz w:val="28"/>
                <w:szCs w:val="28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pStyle w:val="618"/>
              <w:jc w:val="center"/>
              <w:rPr>
                <w:rFonts w:eastAsia="Calibri"/>
                <w:sz w:val="28"/>
                <w:szCs w:val="28"/>
              </w:rPr>
              <w:framePr w:hSpace="180" w:wrap="around" w:vAnchor="text" w:hAnchor="text" w:xAlign="center" w:y="224"/>
            </w:pPr>
            <w:r>
              <w:rPr>
                <w:rFonts w:eastAsia="Calibri"/>
                <w:sz w:val="28"/>
                <w:szCs w:val="28"/>
              </w:rPr>
            </w:r>
            <w:r>
              <w:rPr>
                <w:rFonts w:eastAsia="Calibri"/>
                <w:sz w:val="28"/>
                <w:szCs w:val="2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4" w:type="dxa"/>
            <w:vAlign w:val="top"/>
            <w:textDirection w:val="lrTb"/>
            <w:noWrap w:val="false"/>
          </w:tcPr>
          <w:p>
            <w:pPr>
              <w:pStyle w:val="618"/>
              <w:jc w:val="center"/>
              <w:rPr>
                <w:rFonts w:eastAsia="Calibri"/>
                <w:sz w:val="28"/>
                <w:szCs w:val="28"/>
              </w:rPr>
              <w:framePr w:hSpace="180" w:wrap="around" w:vAnchor="text" w:hAnchor="text" w:xAlign="center" w:y="224"/>
            </w:pPr>
            <w:r>
              <w:rPr>
                <w:rFonts w:eastAsia="Calibri"/>
                <w:sz w:val="28"/>
                <w:szCs w:val="28"/>
              </w:rPr>
              <w:t xml:space="preserve">1</w:t>
            </w:r>
            <w:r>
              <w:rPr>
                <w:rFonts w:eastAsia="Calibri"/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66" w:type="dxa"/>
            <w:vAlign w:val="top"/>
            <w:textDirection w:val="lrTb"/>
            <w:noWrap w:val="false"/>
          </w:tcPr>
          <w:p>
            <w:pPr>
              <w:pStyle w:val="618"/>
              <w:jc w:val="center"/>
              <w:rPr>
                <w:rFonts w:eastAsia="Calibri"/>
                <w:sz w:val="28"/>
                <w:szCs w:val="28"/>
              </w:rPr>
              <w:framePr w:hSpace="180" w:wrap="around" w:vAnchor="text" w:hAnchor="text" w:xAlign="center" w:y="224"/>
            </w:pPr>
            <w:r>
              <w:rPr>
                <w:rFonts w:eastAsia="Calibri"/>
                <w:sz w:val="28"/>
                <w:szCs w:val="28"/>
                <w:lang w:val="en-US"/>
              </w:rPr>
              <w:t xml:space="preserve">0003.0008.0086.0557</w:t>
            </w:r>
            <w:r>
              <w:rPr>
                <w:rFonts w:eastAsia="Calibri"/>
                <w:sz w:val="28"/>
                <w:szCs w:val="28"/>
              </w:rPr>
            </w:r>
            <w:r>
              <w:rPr>
                <w:rFonts w:eastAsia="Calibri"/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7" w:type="dxa"/>
            <w:vAlign w:val="top"/>
            <w:textDirection w:val="lrTb"/>
            <w:noWrap w:val="false"/>
          </w:tcPr>
          <w:p>
            <w:pPr>
              <w:pStyle w:val="618"/>
              <w:jc w:val="center"/>
              <w:rPr>
                <w:rFonts w:eastAsia="Calibri"/>
                <w:sz w:val="28"/>
                <w:szCs w:val="28"/>
              </w:rPr>
              <w:framePr w:hSpace="180" w:wrap="around" w:vAnchor="text" w:hAnchor="text" w:xAlign="center" w:y="224"/>
            </w:pPr>
            <w:r>
              <w:rPr>
                <w:rFonts w:eastAsia="Calibri"/>
                <w:sz w:val="28"/>
                <w:szCs w:val="28"/>
              </w:rPr>
              <w:t xml:space="preserve">Возврат или зачет излишне </w:t>
            </w:r>
            <w:r>
              <w:rPr>
                <w:rFonts w:eastAsia="Calibri"/>
                <w:sz w:val="28"/>
                <w:szCs w:val="28"/>
              </w:rPr>
              <w:t xml:space="preserve">у</w:t>
            </w:r>
            <w:r>
              <w:rPr>
                <w:rFonts w:eastAsia="Calibri"/>
                <w:sz w:val="28"/>
                <w:szCs w:val="28"/>
              </w:rPr>
              <w:t xml:space="preserve">плаченных или излишне взысканных сумм налогов, сборов, взносов, пеней и штрафов</w:t>
            </w:r>
            <w:r>
              <w:rPr>
                <w:rFonts w:eastAsia="Calibri"/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618"/>
              <w:numPr>
                <w:ilvl w:val="0"/>
                <w:numId w:val="2"/>
              </w:numPr>
              <w:contextualSpacing/>
              <w:ind w:left="0" w:firstLine="0"/>
              <w:jc w:val="center"/>
              <w:rPr>
                <w:rFonts w:eastAsia="Calibri"/>
                <w:sz w:val="28"/>
                <w:szCs w:val="28"/>
              </w:rPr>
              <w:framePr w:hSpace="180" w:wrap="around" w:vAnchor="text" w:hAnchor="text" w:xAlign="center" w:y="224"/>
              <w:suppressLineNumbers w:val="0"/>
            </w:pPr>
            <w:r>
              <w:rPr>
                <w:rFonts w:eastAsia="Calibri"/>
                <w:sz w:val="28"/>
                <w:szCs w:val="28"/>
              </w:rPr>
              <w:t xml:space="preserve">Управление отвечает </w:t>
            </w:r>
            <w:r>
              <w:rPr>
                <w:rFonts w:eastAsia="Calibri"/>
                <w:sz w:val="28"/>
                <w:szCs w:val="28"/>
              </w:rPr>
            </w:r>
            <w:r>
              <w:rPr>
                <w:rFonts w:eastAsia="Calibri"/>
                <w:sz w:val="28"/>
                <w:szCs w:val="28"/>
              </w:rPr>
              <w:t xml:space="preserve">на обращения либо перенаправляет  администратору доходов бюджета;</w:t>
            </w:r>
            <w:r>
              <w:rPr>
                <w:rFonts w:eastAsia="Calibri"/>
                <w:sz w:val="28"/>
                <w:szCs w:val="28"/>
              </w:rPr>
            </w:r>
            <w:r/>
            <w:r>
              <w:rPr>
                <w:rFonts w:eastAsia="Calibri"/>
                <w:sz w:val="28"/>
                <w:szCs w:val="28"/>
              </w:rPr>
            </w:r>
          </w:p>
          <w:p>
            <w:pPr>
              <w:numPr>
                <w:ilvl w:val="0"/>
                <w:numId w:val="2"/>
              </w:numPr>
              <w:contextualSpacing/>
              <w:ind w:left="0" w:firstLine="0"/>
              <w:jc w:val="center"/>
              <w:rPr>
                <w:rFonts w:eastAsia="Calibri"/>
                <w:sz w:val="28"/>
                <w:szCs w:val="28"/>
              </w:rPr>
              <w:framePr w:hSpace="180" w:wrap="around" w:vAnchor="text" w:hAnchor="text" w:xAlign="center" w:y="224"/>
              <w:suppressLineNumbers w:val="0"/>
            </w:pPr>
            <w:r>
              <w:rPr>
                <w:rFonts w:eastAsia="Calibri"/>
                <w:sz w:val="28"/>
                <w:szCs w:val="28"/>
                <w:highlight w:val="none"/>
              </w:rPr>
              <w:t xml:space="preserve">На официальном сайте Управления в сети Интернет размещена актуальная информация о порядке осуществления возврата излишне уплаченных денежных средств физическим лицам</w:t>
            </w:r>
            <w:r>
              <w:rPr>
                <w:rFonts w:eastAsia="Calibri"/>
                <w:sz w:val="28"/>
                <w:szCs w:val="28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618"/>
              <w:jc w:val="center"/>
              <w:rPr>
                <w:rFonts w:eastAsia="Calibri"/>
                <w:sz w:val="28"/>
                <w:szCs w:val="28"/>
                <w:highlight w:val="yellow"/>
              </w:rPr>
              <w:framePr w:hSpace="180" w:wrap="around" w:vAnchor="text" w:hAnchor="text" w:xAlign="center" w:y="224"/>
            </w:pPr>
            <w:r>
              <w:rPr>
                <w:rFonts w:eastAsia="Calibri"/>
                <w:sz w:val="28"/>
                <w:szCs w:val="28"/>
              </w:rPr>
              <w:t xml:space="preserve">13</w:t>
            </w:r>
            <w:r>
              <w:rPr>
                <w:rFonts w:eastAsia="Calibri"/>
                <w:sz w:val="28"/>
                <w:szCs w:val="28"/>
                <w:highlight w:val="yellow"/>
              </w:rPr>
            </w:r>
            <w:r>
              <w:rPr>
                <w:rFonts w:eastAsia="Calibri"/>
                <w:sz w:val="28"/>
                <w:szCs w:val="28"/>
                <w:highlight w:val="yellow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4" w:type="dxa"/>
            <w:vAlign w:val="top"/>
            <w:textDirection w:val="lrTb"/>
            <w:noWrap w:val="false"/>
          </w:tcPr>
          <w:p>
            <w:pPr>
              <w:pStyle w:val="618"/>
              <w:jc w:val="center"/>
              <w:rPr>
                <w:rFonts w:eastAsia="Calibri"/>
                <w:sz w:val="28"/>
                <w:szCs w:val="28"/>
              </w:rPr>
              <w:framePr w:hSpace="180" w:wrap="around" w:vAnchor="text" w:hAnchor="text" w:xAlign="center" w:y="224"/>
            </w:pPr>
            <w:r>
              <w:rPr>
                <w:rFonts w:eastAsia="Calibri"/>
                <w:sz w:val="28"/>
                <w:szCs w:val="28"/>
              </w:rPr>
              <w:t xml:space="preserve">2</w:t>
            </w:r>
            <w:r>
              <w:rPr>
                <w:rFonts w:eastAsia="Calibri"/>
                <w:sz w:val="28"/>
                <w:szCs w:val="28"/>
              </w:rPr>
            </w:r>
            <w:r>
              <w:rPr>
                <w:rFonts w:eastAsia="Calibri"/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66" w:type="dxa"/>
            <w:vAlign w:val="top"/>
            <w:textDirection w:val="lrTb"/>
            <w:noWrap w:val="false"/>
          </w:tcPr>
          <w:p>
            <w:pPr>
              <w:pStyle w:val="618"/>
              <w:jc w:val="center"/>
              <w:rPr>
                <w:rFonts w:eastAsia="Calibri"/>
                <w:sz w:val="28"/>
                <w:szCs w:val="28"/>
              </w:rPr>
              <w:framePr w:hSpace="180" w:wrap="around" w:vAnchor="text" w:hAnchor="text" w:xAlign="center" w:y="224"/>
            </w:pPr>
            <w:r>
              <w:rPr>
                <w:rFonts w:eastAsia="Calibri"/>
                <w:sz w:val="28"/>
                <w:szCs w:val="28"/>
              </w:rPr>
              <w:t xml:space="preserve">0004.0018.0170.1046</w:t>
            </w:r>
            <w:r>
              <w:rPr>
                <w:rFonts w:eastAsia="Calibri"/>
                <w:sz w:val="28"/>
                <w:szCs w:val="28"/>
              </w:rPr>
            </w:r>
            <w:r>
              <w:rPr>
                <w:rFonts w:eastAsia="Calibri"/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7" w:type="dxa"/>
            <w:vAlign w:val="top"/>
            <w:textDirection w:val="lrTb"/>
            <w:noWrap w:val="false"/>
          </w:tcPr>
          <w:p>
            <w:pPr>
              <w:pStyle w:val="618"/>
              <w:jc w:val="center"/>
              <w:rPr>
                <w:rFonts w:eastAsia="Calibri"/>
                <w:sz w:val="28"/>
                <w:szCs w:val="28"/>
              </w:rPr>
              <w:framePr w:hSpace="180" w:wrap="around" w:vAnchor="text" w:hAnchor="text" w:xAlign="center" w:y="224"/>
            </w:pPr>
            <w:r>
              <w:rPr>
                <w:rFonts w:eastAsia="Calibri"/>
                <w:sz w:val="28"/>
                <w:szCs w:val="28"/>
              </w:rPr>
              <w:t xml:space="preserve">Общие положения в сфере правосудия</w:t>
            </w:r>
            <w:r>
              <w:rPr>
                <w:rFonts w:eastAsia="Calibri"/>
                <w:sz w:val="28"/>
                <w:szCs w:val="28"/>
              </w:rPr>
            </w:r>
            <w:r>
              <w:rPr>
                <w:rFonts w:eastAsia="Calibri"/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618"/>
              <w:jc w:val="center"/>
              <w:rPr>
                <w:rFonts w:eastAsia="Calibri"/>
                <w:sz w:val="28"/>
                <w:szCs w:val="28"/>
              </w:rPr>
              <w:framePr w:hSpace="180" w:wrap="around" w:vAnchor="text" w:hAnchor="text" w:xAlign="center" w:y="224"/>
            </w:pPr>
            <w:r>
              <w:rPr>
                <w:rFonts w:eastAsia="Calibri"/>
                <w:sz w:val="28"/>
                <w:szCs w:val="28"/>
              </w:rPr>
              <w:t xml:space="preserve">Управление отвечает на обращения либо перенаправляет в соответствующий государственный орган</w:t>
            </w:r>
            <w:r>
              <w:rPr>
                <w:rFonts w:eastAsia="Calibri"/>
                <w:sz w:val="28"/>
                <w:szCs w:val="28"/>
              </w:rPr>
            </w:r>
            <w:r>
              <w:rPr>
                <w:rFonts w:eastAsia="Calibri"/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618"/>
              <w:jc w:val="center"/>
              <w:rPr>
                <w:rFonts w:eastAsia="Calibri"/>
                <w:sz w:val="28"/>
                <w:szCs w:val="28"/>
              </w:rPr>
              <w:framePr w:hSpace="180" w:wrap="around" w:vAnchor="text" w:hAnchor="text" w:xAlign="center" w:y="224"/>
            </w:pPr>
            <w:r>
              <w:rPr>
                <w:rFonts w:eastAsia="Calibri"/>
                <w:sz w:val="28"/>
                <w:szCs w:val="28"/>
              </w:rPr>
              <w:t xml:space="preserve">9</w:t>
            </w:r>
            <w:r>
              <w:rPr>
                <w:rFonts w:eastAsia="Calibri"/>
                <w:sz w:val="28"/>
                <w:szCs w:val="28"/>
              </w:rPr>
            </w:r>
            <w:r>
              <w:rPr>
                <w:rFonts w:eastAsia="Calibri"/>
                <w:sz w:val="28"/>
                <w:szCs w:val="28"/>
              </w:rPr>
            </w:r>
          </w:p>
        </w:tc>
      </w:tr>
    </w:tbl>
    <w:sectPr>
      <w:footnotePr/>
      <w:endnotePr/>
      <w:type w:val="nextPage"/>
      <w:pgSz w:w="11906" w:h="16838" w:orient="portrait"/>
      <w:pgMar w:top="1134" w:right="567" w:bottom="1134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Arial">
    <w:panose1 w:val="020B060402020202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0" w:firstLine="709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8"/>
    <w:next w:val="618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18"/>
    <w:next w:val="618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18"/>
    <w:next w:val="618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18"/>
    <w:next w:val="618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8"/>
    <w:next w:val="618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8"/>
    <w:next w:val="618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8"/>
    <w:next w:val="618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8"/>
    <w:next w:val="618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8"/>
    <w:next w:val="618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18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18"/>
    <w:next w:val="618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18"/>
    <w:next w:val="618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18"/>
    <w:next w:val="618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18"/>
    <w:next w:val="618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18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18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18"/>
    <w:next w:val="618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11"/>
    <w:link w:val="46"/>
    <w:uiPriority w:val="35"/>
    <w:rPr>
      <w:b/>
      <w:bCs/>
      <w:color w:val="4f81bd" w:themeColor="accent1"/>
      <w:sz w:val="18"/>
      <w:szCs w:val="18"/>
    </w:rPr>
  </w:style>
  <w:style w:type="table" w:styleId="48">
    <w:name w:val="Table Grid"/>
    <w:basedOn w:val="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18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18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18"/>
    <w:next w:val="618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18"/>
    <w:next w:val="618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18"/>
    <w:next w:val="618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18"/>
    <w:next w:val="618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18"/>
    <w:next w:val="618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18"/>
    <w:next w:val="618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18"/>
    <w:next w:val="618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18"/>
    <w:next w:val="618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18"/>
    <w:next w:val="618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18"/>
    <w:next w:val="618"/>
    <w:uiPriority w:val="99"/>
    <w:unhideWhenUsed/>
    <w:pPr>
      <w:spacing w:after="0" w:afterAutospacing="0"/>
    </w:pPr>
  </w:style>
  <w:style w:type="paragraph" w:styleId="618" w:default="1">
    <w:name w:val="Normal"/>
    <w:next w:val="618"/>
    <w:link w:val="618"/>
    <w:qFormat/>
    <w:rPr>
      <w:sz w:val="24"/>
      <w:szCs w:val="24"/>
      <w:lang w:val="ru-RU" w:eastAsia="ru-RU" w:bidi="ar-SA"/>
    </w:rPr>
  </w:style>
  <w:style w:type="character" w:styleId="619">
    <w:name w:val="Основной шрифт абзаца"/>
    <w:next w:val="619"/>
    <w:link w:val="618"/>
    <w:semiHidden/>
  </w:style>
  <w:style w:type="table" w:styleId="620">
    <w:name w:val="Обычная таблица"/>
    <w:next w:val="620"/>
    <w:link w:val="618"/>
    <w:semiHidden/>
    <w:tblPr/>
  </w:style>
  <w:style w:type="numbering" w:styleId="621">
    <w:name w:val="Нет списка"/>
    <w:next w:val="621"/>
    <w:link w:val="618"/>
    <w:semiHidden/>
  </w:style>
  <w:style w:type="paragraph" w:styleId="622">
    <w:name w:val="Текст выноски"/>
    <w:basedOn w:val="618"/>
    <w:next w:val="622"/>
    <w:link w:val="618"/>
    <w:semiHidden/>
    <w:rPr>
      <w:rFonts w:ascii="Tahoma" w:hAnsi="Tahoma" w:cs="Tahoma"/>
      <w:sz w:val="16"/>
      <w:szCs w:val="16"/>
    </w:rPr>
  </w:style>
  <w:style w:type="table" w:styleId="623">
    <w:name w:val="Сетка таблицы"/>
    <w:basedOn w:val="620"/>
    <w:next w:val="623"/>
    <w:link w:val="618"/>
    <w:uiPriority w:val="59"/>
    <w:rPr>
      <w:rFonts w:ascii="Calibri" w:hAnsi="Calibri" w:eastAsia="Calibri" w:cs="Times New Roman"/>
      <w:sz w:val="22"/>
      <w:szCs w:val="22"/>
      <w:lang w:eastAsia="en-US"/>
    </w:rPr>
    <w:tblPr/>
  </w:style>
  <w:style w:type="paragraph" w:styleId="624">
    <w:name w:val="Абзац списка"/>
    <w:basedOn w:val="618"/>
    <w:next w:val="624"/>
    <w:link w:val="618"/>
    <w:uiPriority w:val="34"/>
    <w:qFormat/>
    <w:pPr>
      <w:contextualSpacing/>
      <w:ind w:left="720"/>
    </w:pPr>
  </w:style>
  <w:style w:type="character" w:styleId="976" w:default="1">
    <w:name w:val="Default Paragraph Font"/>
    <w:uiPriority w:val="1"/>
    <w:semiHidden/>
    <w:unhideWhenUsed/>
  </w:style>
  <w:style w:type="numbering" w:styleId="977" w:default="1">
    <w:name w:val="No List"/>
    <w:uiPriority w:val="99"/>
    <w:semiHidden/>
    <w:unhideWhenUsed/>
  </w:style>
  <w:style w:type="table" w:styleId="978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r7-office/2025.3.1.923</Application>
  <Company>ФК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ФИНАНСОВ</dc:title>
  <dc:creator>Чубарова</dc:creator>
  <cp:lastModifiedBy>Родюкова Екатерина Николаевна</cp:lastModifiedBy>
  <cp:revision>3</cp:revision>
  <dcterms:created xsi:type="dcterms:W3CDTF">2026-07-03T11:36:00Z</dcterms:created>
  <dcterms:modified xsi:type="dcterms:W3CDTF">2026-07-06T06:33:37Z</dcterms:modified>
  <cp:version>917504</cp:version>
</cp:coreProperties>
</file>